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657"/>
        <w:gridCol w:w="1699"/>
        <w:gridCol w:w="779"/>
        <w:gridCol w:w="3299"/>
      </w:tblGrid>
      <w:tr w:rsidR="00D121F0" w:rsidRPr="00D121F0" w14:paraId="03A3B40F" w14:textId="77777777" w:rsidTr="00D121F0">
        <w:trPr>
          <w:trHeight w:val="1092"/>
          <w:tblCellSpacing w:w="0" w:type="dxa"/>
        </w:trPr>
        <w:tc>
          <w:tcPr>
            <w:tcW w:w="39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B6DE8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 ФЕДЕРАЦИЯ</w:t>
            </w:r>
          </w:p>
          <w:p w14:paraId="141416D4" w14:textId="77777777" w:rsidR="00D121F0" w:rsidRPr="00D121F0" w:rsidRDefault="00D121F0" w:rsidP="00D121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61BC89AC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 РАЙОНА</w:t>
            </w:r>
          </w:p>
          <w:p w14:paraId="18FA7057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47FD0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82FF8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 ФЕДЕРАЦИЯЗЫ</w:t>
            </w:r>
          </w:p>
          <w:p w14:paraId="3E751C07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 РЕСПУБЛИКАЗЫНЫН</w:t>
            </w:r>
          </w:p>
          <w:p w14:paraId="2DC117B4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 АЙМА</w:t>
            </w: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63B72217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D121F0" w:rsidRPr="00D121F0" w14:paraId="1FCFBFB5" w14:textId="77777777" w:rsidTr="00D121F0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65E9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79E8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77928016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4A48BEC8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E2FC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D121F0" w:rsidRPr="00D121F0" w14:paraId="046D73A6" w14:textId="77777777" w:rsidTr="00D121F0">
        <w:trPr>
          <w:trHeight w:val="738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3447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CB48A78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 20.03.2020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EF0A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14F3D7A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с. Аскиз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726D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49071E1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              № 221-п</w:t>
            </w:r>
          </w:p>
        </w:tc>
      </w:tr>
      <w:tr w:rsidR="00D121F0" w:rsidRPr="00D121F0" w14:paraId="00D1AC46" w14:textId="77777777" w:rsidTr="00D121F0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A4F8A" w14:textId="77777777" w:rsidR="00D121F0" w:rsidRPr="00D121F0" w:rsidRDefault="00D121F0" w:rsidP="00D121F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A4FBB" w14:textId="77777777" w:rsidR="00D121F0" w:rsidRPr="00D121F0" w:rsidRDefault="00D121F0" w:rsidP="00D121F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1704E" w14:textId="77777777" w:rsidR="00D121F0" w:rsidRPr="00D121F0" w:rsidRDefault="00D121F0" w:rsidP="00D121F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E4317" w14:textId="77777777" w:rsidR="00D121F0" w:rsidRPr="00D121F0" w:rsidRDefault="00D121F0" w:rsidP="00D121F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0B2A1" w14:textId="77777777" w:rsidR="00D121F0" w:rsidRPr="00D121F0" w:rsidRDefault="00D121F0" w:rsidP="00D121F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06CAAE7C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850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1134"/>
        <w:gridCol w:w="1418"/>
      </w:tblGrid>
      <w:tr w:rsidR="00D121F0" w:rsidRPr="00D121F0" w14:paraId="32C6F91C" w14:textId="77777777" w:rsidTr="00D121F0">
        <w:trPr>
          <w:tblCellSpacing w:w="0" w:type="dxa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6F3D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 итогах реализации Муниципальной программы «Развитие муниципальной службы муниципального образования Аскизский район Республики Хакасия на 2017 – 2020гг.»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523C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AC89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ind w:left="31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</w:tbl>
    <w:p w14:paraId="164F6C09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FF045F8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Рассмотрев представленную информацию об итогах реализации Муниципальной программы «Развитие муниципальной службы муниципального образования Аскизский район Республики Хакасия на 2017 – 2020гг.»</w:t>
      </w:r>
      <w:r w:rsidRPr="00D121F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, 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руководствуясь ст.ст. 35,40 Устава муниципального образования Аскизский район, </w:t>
      </w:r>
      <w:r w:rsidRPr="00D121F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3FB93DD8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0865FF6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</w:t>
      </w:r>
      <w:r w:rsidRPr="00D121F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Утвердить отчет по реализации Муниципальной программы «Развитие</w:t>
      </w:r>
    </w:p>
    <w:p w14:paraId="7E1C27B2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муниципальной службы муниципального образования Аскизский район Республики Хакасия на 2017 – 2020гг.» за 2019 год согласно приложению к настоящему постановлению.</w:t>
      </w:r>
    </w:p>
    <w:p w14:paraId="192BD4DF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</w:t>
      </w:r>
      <w:r w:rsidRPr="00D121F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Продолжить работу по дальнейшей реализации мероприятий  Муниципальной</w:t>
      </w:r>
    </w:p>
    <w:p w14:paraId="41923692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программы в 2020году.</w:t>
      </w:r>
    </w:p>
    <w:p w14:paraId="2144446D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3.</w:t>
      </w:r>
      <w:r w:rsidRPr="00D121F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Разместить отчет по реализации «Развитие муниципальной службы</w:t>
      </w:r>
    </w:p>
    <w:p w14:paraId="5301C4B7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муниципального образования Аскизский район Республики Хакасия на 2017 – 2020гг.» за 2019 год на сайте Администрация Аскизского района в разделе «Муниципальные программы».</w:t>
      </w:r>
    </w:p>
    <w:p w14:paraId="05E4866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B0438A4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BFDB9A7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FC81FD9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   А.В. Челтыгмашев</w:t>
      </w:r>
    </w:p>
    <w:p w14:paraId="2B7A9C0E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9C17EDC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2F2C731F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574944C0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0DF6772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590574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D704676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274BDB49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24283EC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tbl>
      <w:tblPr>
        <w:tblW w:w="4429" w:type="dxa"/>
        <w:tblInd w:w="52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D121F0" w:rsidRPr="00D121F0" w14:paraId="29AE9ED1" w14:textId="77777777" w:rsidTr="00D121F0">
        <w:trPr>
          <w:trHeight w:val="1248"/>
        </w:trPr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7E01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Приложение</w:t>
            </w:r>
          </w:p>
          <w:p w14:paraId="0F7ACAED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 постановлению Администрации</w:t>
            </w:r>
          </w:p>
          <w:p w14:paraId="74C7A269" w14:textId="77777777" w:rsidR="00D121F0" w:rsidRPr="00D121F0" w:rsidRDefault="00D121F0" w:rsidP="00D121F0">
            <w:pPr>
              <w:spacing w:before="100" w:beforeAutospacing="1" w:after="100" w:afterAutospacing="1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Аскизского района Республики Хакасия от 20.03.2020  № 221-п</w:t>
            </w:r>
          </w:p>
        </w:tc>
      </w:tr>
    </w:tbl>
    <w:p w14:paraId="2B0F7764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B640B67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8161A41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Отчет</w:t>
      </w:r>
    </w:p>
    <w:p w14:paraId="22F9ED0E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 реализации Муниципальной программы «Развитие муниципальной службы муниципального образования Аскизский район Республики Хакасия на 2017 – 2020 г.г.» за 2019 год.</w:t>
      </w:r>
    </w:p>
    <w:p w14:paraId="690809D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46DD86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Муниципальная программа «Развитие муниципальной службы муниципального образования Аскизский район Республики Хакасия на 2017 – 2020гг.» утверждена постановлениями от 18.08.2016 № 739 – п и  от 28.09.2018 №868 –п.</w:t>
      </w:r>
    </w:p>
    <w:p w14:paraId="35134E05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Целью программы является развитие муниципальной службы муниципального образования Аскизский район Республики Хакасия, повышение эффективности деятельности Администрации Аскизский район Республики Хакасия и результативности профессиональной служебной деятельности муниципальных служащих.</w:t>
      </w:r>
    </w:p>
    <w:p w14:paraId="40A4D9A0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Задачи программы:</w:t>
      </w:r>
    </w:p>
    <w:p w14:paraId="0F3DB7BA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совершенствование системы управления кадровыми процессами в организации муниципальной службы;</w:t>
      </w:r>
    </w:p>
    <w:p w14:paraId="4DBE23ED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повышение качества и доступности муниципальных услуг;</w:t>
      </w:r>
    </w:p>
    <w:p w14:paraId="12750E45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создание социально – экономических условий развития муниципальной службы;</w:t>
      </w:r>
    </w:p>
    <w:p w14:paraId="2FB1385F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целенаправленное профессиональное развитие муниципальных служащих;</w:t>
      </w:r>
    </w:p>
    <w:p w14:paraId="3CCC5D0B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формирование в обществе привлекательного образа муниципального служащего, привлечение молодежи к выбору данной профессии;</w:t>
      </w:r>
    </w:p>
    <w:p w14:paraId="071A423F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обеспечение стабильности кадрового состава и оптимизации численности Администрации Аскизского района Республики Хакасия и ее структурных подразделений.</w:t>
      </w:r>
    </w:p>
    <w:p w14:paraId="156C16CC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Целевые показатели программы:</w:t>
      </w:r>
    </w:p>
    <w:p w14:paraId="6EB35484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поддержание количества муниципальных служащих, прошедших аттестацию на соответствие замещающей должности муниципальной службы, на уровне 100% ежегодно;</w:t>
      </w:r>
    </w:p>
    <w:p w14:paraId="70BE45EF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- соответствие количества и содержания муниципальных правовых актов по местам прохождения службы действующему законодательству;</w:t>
      </w:r>
    </w:p>
    <w:p w14:paraId="4E8DD6F0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достижение доли муниципальных служащих и глав муниципальных образований, получивших дополнительное профессиональное образование один раз в 3 года, в муниципальном образовании – 70%;</w:t>
      </w:r>
    </w:p>
    <w:p w14:paraId="327B8B6E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ежегодное обучение на курсах повышения квалификации до 2 лиц, состоящих в резерве управленческих кадров Администрации Аскизского района Республики Хакасия.</w:t>
      </w:r>
    </w:p>
    <w:p w14:paraId="48A0D76C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2019 году на реализацию мероприятий программы в бюджете муниципального образования Аскизский район Республики Хакасия были предусмотрены средства в размере 225 421 руб. 209950 руб. были направлены на повышение квалификации 32 муниципальных служащих Аскизского района.</w:t>
      </w:r>
    </w:p>
    <w:p w14:paraId="5D75299E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973"/>
        <w:gridCol w:w="653"/>
        <w:gridCol w:w="1521"/>
        <w:gridCol w:w="1174"/>
        <w:gridCol w:w="1196"/>
        <w:gridCol w:w="1202"/>
      </w:tblGrid>
      <w:tr w:rsidR="00D121F0" w:rsidRPr="00D121F0" w14:paraId="7A99872F" w14:textId="77777777" w:rsidTr="00D121F0"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7500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п</w:t>
            </w:r>
            <w:r w:rsidRPr="00D121F0">
              <w:rPr>
                <w:rFonts w:ascii="Verdana" w:eastAsia="Times New Roman" w:hAnsi="Verdana" w:cs="Times New Roman"/>
                <w:color w:val="052635"/>
                <w:lang w:val="en-US" w:eastAsia="ru-RU"/>
              </w:rPr>
              <w:t>/</w:t>
            </w: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82B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</w:t>
            </w:r>
          </w:p>
          <w:p w14:paraId="415DF70D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показателей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886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0F90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</w:t>
            </w:r>
          </w:p>
          <w:p w14:paraId="72BDD9BB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показателей за год, предшествующий</w:t>
            </w:r>
          </w:p>
          <w:p w14:paraId="7856D3A4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Отчетному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2C65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</w:t>
            </w:r>
          </w:p>
          <w:p w14:paraId="0C6DF53D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</w:t>
            </w:r>
          </w:p>
          <w:p w14:paraId="7165D0C4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показателей</w:t>
            </w:r>
          </w:p>
          <w:p w14:paraId="6A06E477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8D69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</w:t>
            </w:r>
          </w:p>
          <w:p w14:paraId="7678C95C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показателей</w:t>
            </w:r>
          </w:p>
          <w:p w14:paraId="12D1D4EC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 2019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170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D121F0" w:rsidRPr="00D121F0" w14:paraId="01D1556B" w14:textId="77777777" w:rsidTr="00D121F0"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FFA5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5A99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6A96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Тыс 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CF8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B852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225,421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F2A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209,950</w:t>
            </w:r>
          </w:p>
          <w:p w14:paraId="15A530AF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5867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D121F0" w:rsidRPr="00D121F0" w14:paraId="0938AD36" w14:textId="77777777" w:rsidTr="00D121F0"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8FDC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C84A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Поддержание кол-ва муниципальных служащих, прошедших аттестацию на соответствие замещаемой должности муниципальной службы, на уровне 100% ежегодно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6F70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%</w:t>
            </w:r>
          </w:p>
          <w:p w14:paraId="4120EA2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2160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1F7E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E06B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32D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D121F0" w:rsidRPr="00D121F0" w14:paraId="4C3362EC" w14:textId="77777777" w:rsidTr="00D121F0"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9AF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4E2B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 xml:space="preserve">Соответствие кол-ва и содержания муниципальных правовых актов по вопросам прохождения муниципальной </w:t>
            </w: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>службы действующему законодательству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A50E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lastRenderedPageBreak/>
              <w:t>%</w:t>
            </w:r>
          </w:p>
          <w:p w14:paraId="0389F756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4B6C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5C61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CF87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4329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D121F0" w:rsidRPr="00D121F0" w14:paraId="5D476525" w14:textId="77777777" w:rsidTr="00D121F0"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C835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763E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Достижение доли муниципальных служащих и глав муниципальных  образований , получивших дополнительное профессиональное образование 1 раз в 3 года 70%.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EBF6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%</w:t>
            </w:r>
          </w:p>
          <w:p w14:paraId="41D00220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6395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42CA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1C4C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4C13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D121F0" w:rsidRPr="00D121F0" w14:paraId="35A5108E" w14:textId="77777777" w:rsidTr="00D121F0"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1A2E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131A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Ежегодное обучение на курсах повышения квалификации  до 2-х лиц , состоящих в резерве управленческих кадров Администрации Аскизского района республики Хакасия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B5B8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35A0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1689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76B0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0D95" w14:textId="77777777" w:rsidR="00D121F0" w:rsidRPr="00D121F0" w:rsidRDefault="00D121F0" w:rsidP="00D121F0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21F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0</w:t>
            </w:r>
          </w:p>
        </w:tc>
      </w:tr>
    </w:tbl>
    <w:p w14:paraId="1878E224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70884EA6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383E32C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Оценка достижений планового значения целевого индикатора:</w:t>
      </w:r>
    </w:p>
    <w:p w14:paraId="452E3171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182B8449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1) 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val="en-US" w:eastAsia="ru-RU"/>
        </w:rPr>
        <w:t>Q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=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u w:val="single"/>
          <w:lang w:eastAsia="ru-RU"/>
        </w:rPr>
        <w:t>100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=1</w:t>
      </w:r>
    </w:p>
    <w:p w14:paraId="587E9BE4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              100</w:t>
      </w:r>
    </w:p>
    <w:p w14:paraId="0C2F5C96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0FFFA968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2) 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val="en-US" w:eastAsia="ru-RU"/>
        </w:rPr>
        <w:t>Q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=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u w:val="single"/>
          <w:lang w:eastAsia="ru-RU"/>
        </w:rPr>
        <w:t>1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=1</w:t>
      </w:r>
    </w:p>
    <w:p w14:paraId="5E12B61F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1</w:t>
      </w:r>
    </w:p>
    <w:p w14:paraId="0EE1BE1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05458738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3) 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val="en-US" w:eastAsia="ru-RU"/>
        </w:rPr>
        <w:t>Q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=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u w:val="single"/>
          <w:lang w:eastAsia="ru-RU"/>
        </w:rPr>
        <w:t>50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=1</w:t>
      </w:r>
    </w:p>
    <w:p w14:paraId="5761182E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50</w:t>
      </w:r>
    </w:p>
    <w:p w14:paraId="42E9765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4) 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val="en-US" w:eastAsia="ru-RU"/>
        </w:rPr>
        <w:t>Q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= 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u w:val="single"/>
          <w:lang w:eastAsia="ru-RU"/>
        </w:rPr>
        <w:t>2</w:t>
      </w: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=0, 063</w:t>
      </w:r>
    </w:p>
    <w:p w14:paraId="116D3149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32</w:t>
      </w:r>
    </w:p>
    <w:p w14:paraId="25087CE9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51ACC3BF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Уровень достигнутых значений целевых показателей:</w:t>
      </w:r>
    </w:p>
    <w:p w14:paraId="6BDE4CB4" w14:textId="77777777" w:rsidR="00D121F0" w:rsidRPr="00D121F0" w:rsidRDefault="00D121F0" w:rsidP="00D121F0">
      <w:pPr>
        <w:shd w:val="clear" w:color="auto" w:fill="FFFFFF"/>
        <w:spacing w:after="0" w:line="240" w:lineRule="auto"/>
        <w:ind w:left="1212"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A3178D2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Уб=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u w:val="single"/>
          <w:lang w:eastAsia="ru-RU"/>
        </w:rPr>
        <w:t>3,063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=0,752</w:t>
      </w:r>
    </w:p>
    <w:p w14:paraId="66F4EBA0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4</w:t>
      </w:r>
    </w:p>
    <w:p w14:paraId="5D004312" w14:textId="77777777" w:rsidR="00D121F0" w:rsidRPr="00D121F0" w:rsidRDefault="00D121F0" w:rsidP="00D121F0">
      <w:pPr>
        <w:shd w:val="clear" w:color="auto" w:fill="FFFFFF"/>
        <w:spacing w:after="0" w:line="240" w:lineRule="auto"/>
        <w:ind w:left="1212"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E1A0398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Коэффициент финансового обеспечения программы:</w:t>
      </w:r>
    </w:p>
    <w:p w14:paraId="7708DA4C" w14:textId="77777777" w:rsidR="00D121F0" w:rsidRPr="00D121F0" w:rsidRDefault="00D121F0" w:rsidP="00D121F0">
      <w:pPr>
        <w:shd w:val="clear" w:color="auto" w:fill="FFFFFF"/>
        <w:spacing w:after="0" w:line="240" w:lineRule="auto"/>
        <w:ind w:left="1212"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9AB8E05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Иб= 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u w:val="single"/>
          <w:lang w:eastAsia="ru-RU"/>
        </w:rPr>
        <w:t>209950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=0,93</w:t>
      </w:r>
    </w:p>
    <w:p w14:paraId="35742BC3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225421</w:t>
      </w:r>
    </w:p>
    <w:p w14:paraId="44BF986E" w14:textId="77777777" w:rsidR="00D121F0" w:rsidRPr="00D121F0" w:rsidRDefault="00D121F0" w:rsidP="00D121F0">
      <w:pPr>
        <w:shd w:val="clear" w:color="auto" w:fill="FFFFFF"/>
        <w:spacing w:after="0" w:line="240" w:lineRule="auto"/>
        <w:ind w:left="1212"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5477D78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Оценка эффективности реализации программы:</w:t>
      </w:r>
    </w:p>
    <w:p w14:paraId="22A51F57" w14:textId="77777777" w:rsidR="00D121F0" w:rsidRPr="00D121F0" w:rsidRDefault="00D121F0" w:rsidP="00D121F0">
      <w:pPr>
        <w:shd w:val="clear" w:color="auto" w:fill="FFFFFF"/>
        <w:spacing w:after="0" w:line="240" w:lineRule="auto"/>
        <w:ind w:left="1212"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3B00FAB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Эп= 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u w:val="single"/>
          <w:lang w:eastAsia="ru-RU"/>
        </w:rPr>
        <w:t>0,752 </w:t>
      </w: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= 0,809</w:t>
      </w:r>
    </w:p>
    <w:p w14:paraId="0455DC68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0,93</w:t>
      </w:r>
    </w:p>
    <w:p w14:paraId="6CF5279E" w14:textId="77777777" w:rsidR="00D121F0" w:rsidRPr="00D121F0" w:rsidRDefault="00D121F0" w:rsidP="00D121F0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21F0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12780C7" w14:textId="13FDCE30" w:rsidR="00830E61" w:rsidRDefault="00D121F0" w:rsidP="00D121F0">
      <w:r w:rsidRPr="00D121F0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Предложения по дальнейшей реализации программы: продолжить работу по выполнению мероприятий по реализации Муниципальной программы «Развитие муниципальной службы муниципального образования Аскизский район Республики Хакасия на 2017 – 2020 гг.»</w:t>
      </w:r>
    </w:p>
    <w:sectPr w:rsidR="0083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61"/>
    <w:rsid w:val="00830E61"/>
    <w:rsid w:val="00D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DDFE-CE3A-4C18-9988-E16BB255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2020-08-20T20:59:00Z</dcterms:created>
  <dcterms:modified xsi:type="dcterms:W3CDTF">2020-08-20T20:59:00Z</dcterms:modified>
</cp:coreProperties>
</file>